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Контрольно-счетная комиссия</w:t>
      </w: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Богородского муниципального округа Нижегородской области</w:t>
      </w:r>
    </w:p>
    <w:p w:rsidR="00B15AB4" w:rsidRDefault="003272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pict>
          <v:shape id="shape 0" o:spid="_x0000_s1026" style="position:absolute;left:0;text-align:left;margin-left:-17.5pt;margin-top:8.5pt;width:501.8pt;height:.8pt;flip:y;z-index:251659264" coordsize="100000,100000" o:spt="100" o:gfxdata="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B+o7itcAAAAJAQAADwAAAAAAAAAB&#10;ACAAAAAiAAAAZHJzL2Rvd25yZXYueG1sUEsBAhQAFAAAAAgAh07iQF/IOXqDAgAA4QUAAA4AAAAA&#10;AAAAAQAgAAAAJgEAAGRycy9lMm9Eb2MueG1sUEsFBgAAAAAGAAYAWQEAABsGAAAAAA==&#10;" adj="0,,0" path="m,l100000,100000e" filled="f">
            <v:stroke joinstyle="round"/>
            <v:formulas/>
            <v:path o:connecttype="segments" textboxrect="0,0,100000,100000"/>
            <v:textbox>
              <w:txbxContent>
                <w:p w:rsidR="00E463DB" w:rsidRDefault="00E463DB"/>
              </w:txbxContent>
            </v:textbox>
          </v:shape>
        </w:pict>
      </w: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отчет об исполнении бюджета </w:t>
      </w: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Богородского муниципального округа Нижегородской области </w:t>
      </w: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1 полугодие 2025 года</w:t>
      </w:r>
    </w:p>
    <w:p w:rsidR="00B15AB4" w:rsidRDefault="00B15AB4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Настоящее заключение подготовлено контрольно-счетной комиссией Богородского муниципального округа Нижегородской области  (далее – контрольно-счетная комиссия) в соответствии с нормами Бюджетного Кодекса Российской Федерации (далее – БК РФ), решениями Совета депутатов Богородского муниципального округа Нижегородской области от 09.10.2020 № 26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о бюджетном процессе в Богородском муниципальном округе Нижегородской области» (далее – Положение о бюджетном процессе) и от </w:t>
      </w:r>
      <w:r>
        <w:rPr>
          <w:rFonts w:ascii="Times New Roman" w:hAnsi="Times New Roman" w:cs="Times New Roman"/>
          <w:sz w:val="28"/>
          <w:szCs w:val="28"/>
        </w:rPr>
        <w:t>16.12.2021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203 «Об утверждении Положения о контрольно-счетной комиссии Богородского муниципального округа Нижегородской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5AB4" w:rsidRDefault="00B15A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об исполнении бюджета Богородского муниципального округа Нижегородской области (далее – бюджет) за 1 полугодие 2025 года представлен администрацией Богородского муниципального округа Нижегородской области в соответствии со статьей 264.2 БК РФ, главой 31 Положения о бюджетном процессе в составе:</w:t>
      </w:r>
    </w:p>
    <w:p w:rsidR="00B15AB4" w:rsidRDefault="00674647">
      <w:pPr>
        <w:pStyle w:val="af9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постановление администрации Богородского муниципального округа Нижегородской области «Об исполнении бюджета Богородского муниципального округа Нижегородской области за полугодие 2025 года» от 16.07.2025  № 3098;</w:t>
      </w:r>
    </w:p>
    <w:p w:rsidR="00B15AB4" w:rsidRDefault="00674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информация об использовании бюджетных ассигнований дорожного фонда муниципального округа;</w:t>
      </w:r>
    </w:p>
    <w:p w:rsidR="00B15AB4" w:rsidRDefault="00674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информация об осуществлении бюджетных инвестиций в объекты капитального строительства с разбивкой по объектам капитального строительства;</w:t>
      </w:r>
    </w:p>
    <w:p w:rsidR="00B15AB4" w:rsidRDefault="00674647">
      <w:pPr>
        <w:pStyle w:val="af9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дополнительная информация по запросу контрольно-счетной комиссии.</w:t>
      </w: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 Формирование плановых значений основных параметров бюджета</w:t>
      </w:r>
    </w:p>
    <w:p w:rsidR="00B15AB4" w:rsidRDefault="006746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депутатов Богородского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от </w:t>
      </w:r>
      <w:r>
        <w:rPr>
          <w:rFonts w:ascii="Times New Roman" w:hAnsi="Times New Roman" w:cs="Times New Roman"/>
          <w:sz w:val="26"/>
          <w:szCs w:val="26"/>
        </w:rPr>
        <w:t>12.12.2024 № 117</w:t>
      </w:r>
      <w:r>
        <w:rPr>
          <w:rFonts w:ascii="Times New Roman" w:hAnsi="Times New Roman" w:cs="Times New Roman"/>
          <w:sz w:val="28"/>
          <w:szCs w:val="28"/>
        </w:rPr>
        <w:t xml:space="preserve"> «О бюджете Богородского муниципального округа Нижегородской области на 2025 год и на плановый период 2026 и 2027 годов»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 редакции от 19.06.2025) (далее – Решение о бюджете) с учётом внесения изменений в бюджетную роспись доходы бюджета утверждены в сумме </w:t>
      </w:r>
      <w:r>
        <w:rPr>
          <w:rFonts w:ascii="Times New Roman" w:hAnsi="Times New Roman"/>
          <w:sz w:val="28"/>
          <w:szCs w:val="28"/>
        </w:rPr>
        <w:t>4109443,32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, расходы –</w:t>
      </w:r>
      <w:r w:rsidRPr="00B27142"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  <w:t>4351759</w:t>
      </w:r>
      <w:r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  <w:t>,</w:t>
      </w:r>
      <w:r w:rsidRPr="00B27142">
        <w:rPr>
          <w:rFonts w:ascii="Times New Roman" w:eastAsia="Arial Cyr" w:hAnsi="Times New Roman" w:cs="Times New Roman"/>
          <w:color w:val="000000"/>
          <w:sz w:val="28"/>
          <w:szCs w:val="28"/>
          <w:lang w:eastAsia="zh-CN"/>
        </w:rPr>
        <w:t>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дефицит – 242 316,67 тыс. рублей.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плановых назначений основных параметров бюджета на 01.07.2025 представлено в таблице № 1:</w:t>
      </w:r>
    </w:p>
    <w:p w:rsidR="00B15AB4" w:rsidRDefault="0067464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Таблица № 1 (тыс. рублей)</w:t>
      </w:r>
    </w:p>
    <w:tbl>
      <w:tblPr>
        <w:tblStyle w:val="af3"/>
        <w:tblW w:w="0" w:type="auto"/>
        <w:tblLayout w:type="fixed"/>
        <w:tblLook w:val="04A0"/>
      </w:tblPr>
      <w:tblGrid>
        <w:gridCol w:w="3936"/>
        <w:gridCol w:w="1841"/>
        <w:gridCol w:w="1844"/>
        <w:gridCol w:w="1950"/>
      </w:tblGrid>
      <w:tr w:rsidR="00B15AB4">
        <w:tc>
          <w:tcPr>
            <w:tcW w:w="3936" w:type="dxa"/>
            <w:noWrap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Профицит (+), Дефицит (-)</w:t>
            </w:r>
          </w:p>
        </w:tc>
      </w:tr>
      <w:tr w:rsidR="00B15AB4">
        <w:trPr>
          <w:trHeight w:val="329"/>
        </w:trPr>
        <w:tc>
          <w:tcPr>
            <w:tcW w:w="3936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color w:val="000000"/>
                <w:sz w:val="20"/>
                <w:szCs w:val="20"/>
              </w:rPr>
              <w:t>Решение о бюджете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.12.2024 № 117</w:t>
            </w:r>
          </w:p>
        </w:tc>
        <w:tc>
          <w:tcPr>
            <w:tcW w:w="1841" w:type="dxa"/>
            <w:noWrap/>
          </w:tcPr>
          <w:p w:rsidR="00B15AB4" w:rsidRDefault="006746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3 456 927,70</w:t>
            </w:r>
          </w:p>
        </w:tc>
        <w:tc>
          <w:tcPr>
            <w:tcW w:w="1844" w:type="dxa"/>
            <w:noWrap/>
          </w:tcPr>
          <w:p w:rsidR="00B15AB4" w:rsidRDefault="006746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3 456 927,70</w:t>
            </w:r>
          </w:p>
        </w:tc>
        <w:tc>
          <w:tcPr>
            <w:tcW w:w="1950" w:type="dxa"/>
            <w:noWrap/>
          </w:tcPr>
          <w:p w:rsidR="00B15AB4" w:rsidRDefault="006746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5AB4">
        <w:tc>
          <w:tcPr>
            <w:tcW w:w="393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Изменения, внесенные в Решение о бюджете в течение 1 полугодия 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841" w:type="dxa"/>
            <w:noWrap/>
            <w:vAlign w:val="center"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+ 662 701,63</w:t>
            </w:r>
          </w:p>
        </w:tc>
        <w:tc>
          <w:tcPr>
            <w:tcW w:w="1844" w:type="dxa"/>
            <w:noWrap/>
            <w:vAlign w:val="center"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+ 905 018,30</w:t>
            </w:r>
          </w:p>
        </w:tc>
        <w:tc>
          <w:tcPr>
            <w:tcW w:w="1950" w:type="dxa"/>
            <w:noWrap/>
            <w:vAlign w:val="center"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-242 316,67</w:t>
            </w:r>
          </w:p>
        </w:tc>
      </w:tr>
      <w:tr w:rsidR="00B15AB4">
        <w:tc>
          <w:tcPr>
            <w:tcW w:w="393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color w:val="000000"/>
                <w:sz w:val="20"/>
                <w:szCs w:val="20"/>
              </w:rPr>
              <w:t>Решение о бюджете с учетом всех изменений (от 19.06.2025)</w:t>
            </w:r>
          </w:p>
        </w:tc>
        <w:tc>
          <w:tcPr>
            <w:tcW w:w="1841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4 119 629,33</w:t>
            </w:r>
          </w:p>
        </w:tc>
        <w:tc>
          <w:tcPr>
            <w:tcW w:w="1844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4 361 946,00</w:t>
            </w:r>
          </w:p>
        </w:tc>
        <w:tc>
          <w:tcPr>
            <w:tcW w:w="1950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-242 316,67</w:t>
            </w:r>
          </w:p>
        </w:tc>
      </w:tr>
      <w:tr w:rsidR="00B15AB4">
        <w:tc>
          <w:tcPr>
            <w:tcW w:w="393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color w:val="000000"/>
                <w:sz w:val="20"/>
                <w:szCs w:val="20"/>
              </w:rPr>
              <w:t>Уточнение плановых назначений без внесения изменений в решение о бюджете</w:t>
            </w:r>
          </w:p>
        </w:tc>
        <w:tc>
          <w:tcPr>
            <w:tcW w:w="1841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- 10 186,01</w:t>
            </w:r>
          </w:p>
        </w:tc>
        <w:tc>
          <w:tcPr>
            <w:tcW w:w="1844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- 10 186,01</w:t>
            </w:r>
          </w:p>
        </w:tc>
        <w:tc>
          <w:tcPr>
            <w:tcW w:w="1950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15AB4">
        <w:tc>
          <w:tcPr>
            <w:tcW w:w="393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color w:val="000000"/>
                <w:sz w:val="20"/>
                <w:szCs w:val="20"/>
              </w:rPr>
              <w:t>Уточнённые плановые назначения на 01.07.2025</w:t>
            </w:r>
          </w:p>
        </w:tc>
        <w:tc>
          <w:tcPr>
            <w:tcW w:w="1841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C2B67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109</w:t>
            </w:r>
            <w:r w:rsidR="002C2B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443,32</w:t>
            </w:r>
          </w:p>
        </w:tc>
        <w:tc>
          <w:tcPr>
            <w:tcW w:w="1844" w:type="dxa"/>
            <w:noWrap/>
          </w:tcPr>
          <w:p w:rsidR="00B15AB4" w:rsidRDefault="00674647">
            <w:pPr>
              <w:jc w:val="center"/>
              <w:textAlignment w:val="bottom"/>
              <w:rPr>
                <w:rFonts w:ascii="Times New Roman" w:eastAsia="Arial Cyr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 w:rsidR="002C2B67"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/>
              </w:rPr>
              <w:t>351</w:t>
            </w:r>
            <w:r w:rsidR="002C2B67"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/>
              </w:rPr>
              <w:t>759</w:t>
            </w:r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Arial Cyr" w:hAnsi="Times New Roman" w:cs="Times New Roman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950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- 242 316,67</w:t>
            </w:r>
          </w:p>
        </w:tc>
      </w:tr>
    </w:tbl>
    <w:p w:rsidR="00B15AB4" w:rsidRDefault="00B15A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B15AB4" w:rsidRDefault="00674647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8"/>
          <w:szCs w:val="28"/>
        </w:rPr>
        <w:t>2. Исполнение бюджета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исполнения бюджета за 1 полугодие 2025</w:t>
      </w:r>
      <w:r w:rsidR="00E73EE2">
        <w:rPr>
          <w:rFonts w:ascii="Times New Roman" w:hAnsi="Times New Roman" w:cs="Times New Roman"/>
          <w:color w:val="000000"/>
          <w:sz w:val="28"/>
          <w:szCs w:val="28"/>
        </w:rPr>
        <w:t xml:space="preserve"> года представлен в таблице № 2.</w:t>
      </w:r>
    </w:p>
    <w:p w:rsidR="00B15AB4" w:rsidRDefault="0067464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Таблица № 2</w:t>
      </w:r>
    </w:p>
    <w:tbl>
      <w:tblPr>
        <w:tblStyle w:val="af3"/>
        <w:tblW w:w="9571" w:type="dxa"/>
        <w:tblLook w:val="04A0"/>
      </w:tblPr>
      <w:tblGrid>
        <w:gridCol w:w="1773"/>
        <w:gridCol w:w="2163"/>
        <w:gridCol w:w="2126"/>
        <w:gridCol w:w="2329"/>
        <w:gridCol w:w="1180"/>
      </w:tblGrid>
      <w:tr w:rsidR="00B15AB4">
        <w:tc>
          <w:tcPr>
            <w:tcW w:w="1773" w:type="dxa"/>
            <w:vMerge w:val="restart"/>
            <w:noWrap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Merge w:val="restart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</w:t>
            </w:r>
          </w:p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полугодие 2024 года</w:t>
            </w:r>
          </w:p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</w:t>
            </w:r>
          </w:p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полугодие 2025 года</w:t>
            </w:r>
          </w:p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 к 1 полугодию</w:t>
            </w:r>
          </w:p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 года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5AB4">
        <w:tc>
          <w:tcPr>
            <w:tcW w:w="1773" w:type="dxa"/>
            <w:vMerge/>
            <w:noWrap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Merge/>
            <w:noWrap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9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тыс. руб.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%</w:t>
            </w:r>
          </w:p>
        </w:tc>
      </w:tr>
      <w:tr w:rsidR="00B15AB4">
        <w:tc>
          <w:tcPr>
            <w:tcW w:w="1773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</w:t>
            </w:r>
          </w:p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1 608 551,45</w:t>
            </w:r>
          </w:p>
        </w:tc>
        <w:tc>
          <w:tcPr>
            <w:tcW w:w="2126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2 139 554,58</w:t>
            </w:r>
          </w:p>
        </w:tc>
        <w:tc>
          <w:tcPr>
            <w:tcW w:w="2329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+ 531 003,13</w:t>
            </w:r>
          </w:p>
        </w:tc>
        <w:tc>
          <w:tcPr>
            <w:tcW w:w="1180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+33,0</w:t>
            </w:r>
          </w:p>
        </w:tc>
      </w:tr>
      <w:tr w:rsidR="00B15AB4">
        <w:tc>
          <w:tcPr>
            <w:tcW w:w="1773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</w:t>
            </w:r>
          </w:p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1 488 156,69</w:t>
            </w:r>
          </w:p>
        </w:tc>
        <w:tc>
          <w:tcPr>
            <w:tcW w:w="2126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2 064 487,20</w:t>
            </w:r>
          </w:p>
        </w:tc>
        <w:tc>
          <w:tcPr>
            <w:tcW w:w="2329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+ 576 330,51</w:t>
            </w:r>
          </w:p>
        </w:tc>
        <w:tc>
          <w:tcPr>
            <w:tcW w:w="1180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+38,7</w:t>
            </w:r>
          </w:p>
        </w:tc>
      </w:tr>
      <w:tr w:rsidR="00B15AB4">
        <w:tc>
          <w:tcPr>
            <w:tcW w:w="1773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Профицит (+), Дефицит (-)</w:t>
            </w:r>
          </w:p>
        </w:tc>
        <w:tc>
          <w:tcPr>
            <w:tcW w:w="2163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+ 120 394,76</w:t>
            </w:r>
          </w:p>
        </w:tc>
        <w:tc>
          <w:tcPr>
            <w:tcW w:w="2126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-75 067,38</w:t>
            </w:r>
          </w:p>
        </w:tc>
        <w:tc>
          <w:tcPr>
            <w:tcW w:w="2329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0" w:type="dxa"/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B15AB4" w:rsidRDefault="00B15AB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8"/>
          <w:szCs w:val="28"/>
        </w:rPr>
        <w:t>2.1. Доходы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Уточненный годовой план по доходам на 2025 год составил </w:t>
      </w:r>
      <w:r>
        <w:rPr>
          <w:rFonts w:ascii="Times New Roman" w:hAnsi="Times New Roman" w:cs="Times New Roman"/>
          <w:bCs/>
          <w:sz w:val="28"/>
          <w:szCs w:val="28"/>
        </w:rPr>
        <w:t>4 109 443,32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кассовое исполнение за 1 полугодие 2025 года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2 139 554,58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52,1 % к уточненному годовому плану. 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Налоговые и неналоговые доходы поступили в сумме 510 500,91 тыс. рублей, что составляет 43,2 % к годовому плану.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Налоговые доходы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отчетном периоде поступили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446 745,33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40,5 % к годовому плану, что на 19 544,81 тыс. рублей или на 4,6 % больше чем в аналогичном отчетном периоде прошлого года.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 об исполнении в отчетном периоде налоговых доходов по подгруппам представлена в таблице:</w:t>
      </w:r>
    </w:p>
    <w:p w:rsidR="00B15AB4" w:rsidRDefault="0067464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Таблица № 3</w:t>
      </w:r>
    </w:p>
    <w:tbl>
      <w:tblPr>
        <w:tblStyle w:val="af3"/>
        <w:tblW w:w="9464" w:type="dxa"/>
        <w:tblLayout w:type="fixed"/>
        <w:tblLook w:val="04A0"/>
      </w:tblPr>
      <w:tblGrid>
        <w:gridCol w:w="1133"/>
        <w:gridCol w:w="2236"/>
        <w:gridCol w:w="1984"/>
        <w:gridCol w:w="1559"/>
        <w:gridCol w:w="1276"/>
        <w:gridCol w:w="1276"/>
      </w:tblGrid>
      <w:tr w:rsidR="00B15AB4">
        <w:tc>
          <w:tcPr>
            <w:tcW w:w="1133" w:type="dxa"/>
            <w:vMerge w:val="restart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п/группа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подгруппы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1 полугодие 2024 года, тыс. руб.</w:t>
            </w:r>
          </w:p>
        </w:tc>
        <w:tc>
          <w:tcPr>
            <w:tcW w:w="1559" w:type="dxa"/>
            <w:vMerge w:val="restart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1 полугодие 2025 года, тыс. руб.</w:t>
            </w:r>
          </w:p>
        </w:tc>
        <w:tc>
          <w:tcPr>
            <w:tcW w:w="2552" w:type="dxa"/>
            <w:gridSpan w:val="2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 к 1 полугодию 2024 года</w:t>
            </w:r>
          </w:p>
        </w:tc>
      </w:tr>
      <w:tr w:rsidR="00B15AB4">
        <w:tc>
          <w:tcPr>
            <w:tcW w:w="1133" w:type="dxa"/>
            <w:vMerge/>
            <w:noWrap/>
          </w:tcPr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vMerge/>
            <w:noWrap/>
          </w:tcPr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noWrap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noWrap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тыс. руб.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% </w:t>
            </w:r>
          </w:p>
        </w:tc>
      </w:tr>
      <w:tr w:rsidR="00B15AB4">
        <w:trPr>
          <w:trHeight w:val="169"/>
        </w:trPr>
        <w:tc>
          <w:tcPr>
            <w:tcW w:w="1133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</w:t>
            </w:r>
          </w:p>
        </w:tc>
        <w:tc>
          <w:tcPr>
            <w:tcW w:w="223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4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278 866,80 </w:t>
            </w:r>
          </w:p>
        </w:tc>
        <w:tc>
          <w:tcPr>
            <w:tcW w:w="1559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282 391,07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3 524,27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1,3 </w:t>
            </w:r>
          </w:p>
        </w:tc>
      </w:tr>
      <w:tr w:rsidR="00B15AB4">
        <w:tc>
          <w:tcPr>
            <w:tcW w:w="1133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</w:t>
            </w:r>
          </w:p>
        </w:tc>
        <w:tc>
          <w:tcPr>
            <w:tcW w:w="223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984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22 870,22 </w:t>
            </w:r>
          </w:p>
        </w:tc>
        <w:tc>
          <w:tcPr>
            <w:tcW w:w="1559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22 068,99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- 801,23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- 3,5 </w:t>
            </w:r>
          </w:p>
        </w:tc>
      </w:tr>
      <w:tr w:rsidR="00B15AB4">
        <w:tc>
          <w:tcPr>
            <w:tcW w:w="1133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</w:t>
            </w:r>
          </w:p>
        </w:tc>
        <w:tc>
          <w:tcPr>
            <w:tcW w:w="223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4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77 809,05 </w:t>
            </w:r>
          </w:p>
        </w:tc>
        <w:tc>
          <w:tcPr>
            <w:tcW w:w="1559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85 028,66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7 219,61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9,3 </w:t>
            </w:r>
          </w:p>
        </w:tc>
      </w:tr>
      <w:tr w:rsidR="00B15AB4">
        <w:trPr>
          <w:trHeight w:val="161"/>
        </w:trPr>
        <w:tc>
          <w:tcPr>
            <w:tcW w:w="1133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</w:t>
            </w:r>
          </w:p>
        </w:tc>
        <w:tc>
          <w:tcPr>
            <w:tcW w:w="223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984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41 986,95 </w:t>
            </w:r>
          </w:p>
        </w:tc>
        <w:tc>
          <w:tcPr>
            <w:tcW w:w="1559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41 157,55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- 829,40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- 2,0 </w:t>
            </w:r>
          </w:p>
        </w:tc>
      </w:tr>
      <w:tr w:rsidR="00B15AB4">
        <w:tc>
          <w:tcPr>
            <w:tcW w:w="1133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1 08</w:t>
            </w:r>
          </w:p>
        </w:tc>
        <w:tc>
          <w:tcPr>
            <w:tcW w:w="223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84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5 667,50 </w:t>
            </w:r>
          </w:p>
        </w:tc>
        <w:tc>
          <w:tcPr>
            <w:tcW w:w="1559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16 099,06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10 431,56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184,1 </w:t>
            </w:r>
          </w:p>
        </w:tc>
      </w:tr>
      <w:tr w:rsidR="00B15AB4">
        <w:tc>
          <w:tcPr>
            <w:tcW w:w="1133" w:type="dxa"/>
            <w:noWrap/>
          </w:tcPr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налоговые доходы</w:t>
            </w:r>
          </w:p>
        </w:tc>
        <w:tc>
          <w:tcPr>
            <w:tcW w:w="1984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427 200,52 </w:t>
            </w:r>
          </w:p>
        </w:tc>
        <w:tc>
          <w:tcPr>
            <w:tcW w:w="1559" w:type="dxa"/>
            <w:noWrap/>
          </w:tcPr>
          <w:p w:rsidR="00B15AB4" w:rsidRDefault="00674647">
            <w:pPr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446 745,33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19 544,81 </w:t>
            </w:r>
          </w:p>
        </w:tc>
        <w:tc>
          <w:tcPr>
            <w:tcW w:w="1276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4,6 </w:t>
            </w:r>
          </w:p>
        </w:tc>
      </w:tr>
    </w:tbl>
    <w:p w:rsidR="00B15AB4" w:rsidRDefault="00B15A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(1 01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,Bold" w:hAnsi="Times New Roman" w:cs="Times New Roman"/>
          <w:bCs/>
          <w:color w:val="000000"/>
          <w:sz w:val="28"/>
          <w:szCs w:val="28"/>
        </w:rPr>
        <w:t xml:space="preserve">Налоги на прибыль, доходы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поступили в сумме 282 391,07 тыс. рублей по налогу на доходы физических лиц или 44,4 % от годового плана. 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(1 03) </w:t>
      </w:r>
      <w:r>
        <w:rPr>
          <w:rFonts w:ascii="Times New Roman" w:eastAsia="Times New Roman,Bold" w:hAnsi="Times New Roman" w:cs="Times New Roman"/>
          <w:bCs/>
          <w:color w:val="000000"/>
          <w:sz w:val="28"/>
          <w:szCs w:val="28"/>
        </w:rPr>
        <w:t xml:space="preserve">Налоги на товары (работы, услуги), акцизы по подакцизным товарам (продукции)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поступили в сумме 22 068,99 тыс. рублей или 40,6 % от годового плана.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(1 05) </w:t>
      </w:r>
      <w:r>
        <w:rPr>
          <w:rFonts w:ascii="Times New Roman" w:eastAsia="Times New Roman,Bold" w:hAnsi="Times New Roman" w:cs="Times New Roman"/>
          <w:bCs/>
          <w:color w:val="000000"/>
          <w:sz w:val="28"/>
          <w:szCs w:val="28"/>
        </w:rPr>
        <w:t xml:space="preserve">Налоги на совокупный доход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поступили в сумме 85 028,66 тыс. рублей или 56,3 % к годовым назначениям.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(1 06) Налоги на имущество поступили в сумме 41 157,55 тыс. рублей или 18,3 % от годового плана.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(1 08) </w:t>
      </w:r>
      <w:r>
        <w:rPr>
          <w:rFonts w:ascii="Times New Roman" w:eastAsia="Times New Roman,Bold" w:hAnsi="Times New Roman" w:cs="Times New Roman"/>
          <w:bCs/>
          <w:color w:val="000000"/>
          <w:sz w:val="28"/>
          <w:szCs w:val="28"/>
        </w:rPr>
        <w:t xml:space="preserve">Государственная пошлина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доход бюджета в отчетном периоде поступила в размере 16 099,06 тыс. рублей или 45,0 % от уточненного годового плана. 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Наибольший объем поступлений по данному виду доходов в отчетном периоде составила государственная пошлина по делам, рассматриваемым в судах общей юрисдикции, мировыми судьями  16 069,06 тыс. рублей (99,8 % от общей суммы госпошлины).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,Bold" w:hAnsi="Times New Roman" w:cs="Times New Roman"/>
          <w:bCs/>
          <w:i/>
          <w:color w:val="000000"/>
          <w:sz w:val="28"/>
          <w:szCs w:val="28"/>
        </w:rPr>
        <w:t xml:space="preserve">Неналоговые доходы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(подгруппы 1 11 – 1 17) поступили в сумме 63 755,59 тыс. рублей, что на 4 303,56 тыс. рублей или 7,2 % выше уровня поступлений за аналогичный отчетный период 2024 года (59 452,03 тыс. рублей).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Информация об исполнении в отчетном периоде неналоговых доходов по подгруппам представлена в таблице:</w:t>
      </w:r>
    </w:p>
    <w:p w:rsidR="00B15AB4" w:rsidRDefault="0067464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Таблица № 4</w:t>
      </w:r>
    </w:p>
    <w:p w:rsidR="00B15AB4" w:rsidRDefault="00B15AB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f3"/>
        <w:tblW w:w="9464" w:type="dxa"/>
        <w:tblLayout w:type="fixed"/>
        <w:tblLook w:val="04A0"/>
      </w:tblPr>
      <w:tblGrid>
        <w:gridCol w:w="817"/>
        <w:gridCol w:w="3119"/>
        <w:gridCol w:w="1275"/>
        <w:gridCol w:w="1418"/>
        <w:gridCol w:w="1417"/>
        <w:gridCol w:w="1418"/>
      </w:tblGrid>
      <w:tr w:rsidR="00B15AB4">
        <w:tc>
          <w:tcPr>
            <w:tcW w:w="817" w:type="dxa"/>
            <w:vMerge w:val="restart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п/группа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подгруппы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1 полугодие 2024 года, тыс. руб.</w:t>
            </w:r>
          </w:p>
        </w:tc>
        <w:tc>
          <w:tcPr>
            <w:tcW w:w="1418" w:type="dxa"/>
            <w:vMerge w:val="restart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1 полугодие 2025 года, тыс. руб.</w:t>
            </w:r>
          </w:p>
        </w:tc>
        <w:tc>
          <w:tcPr>
            <w:tcW w:w="2835" w:type="dxa"/>
            <w:gridSpan w:val="2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Отклонение к 1 полугодию 2024 года </w:t>
            </w:r>
          </w:p>
        </w:tc>
      </w:tr>
      <w:tr w:rsidR="00B15AB4">
        <w:tc>
          <w:tcPr>
            <w:tcW w:w="817" w:type="dxa"/>
            <w:vMerge/>
            <w:noWrap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noWrap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noWrap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тыс. руб.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% </w:t>
            </w:r>
          </w:p>
        </w:tc>
      </w:tr>
      <w:tr w:rsidR="00B15AB4">
        <w:trPr>
          <w:trHeight w:val="920"/>
        </w:trPr>
        <w:tc>
          <w:tcPr>
            <w:tcW w:w="817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</w:t>
            </w:r>
          </w:p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31 671,22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33 428,35 </w:t>
            </w:r>
          </w:p>
        </w:tc>
        <w:tc>
          <w:tcPr>
            <w:tcW w:w="1417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1 757,13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5,5 </w:t>
            </w:r>
          </w:p>
        </w:tc>
      </w:tr>
      <w:tr w:rsidR="00B15AB4">
        <w:tc>
          <w:tcPr>
            <w:tcW w:w="817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</w:t>
            </w:r>
          </w:p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9 110,42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7 173,00 </w:t>
            </w:r>
          </w:p>
        </w:tc>
        <w:tc>
          <w:tcPr>
            <w:tcW w:w="1417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-1 937,42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- 21,3 </w:t>
            </w:r>
          </w:p>
        </w:tc>
      </w:tr>
      <w:tr w:rsidR="00B15AB4">
        <w:tc>
          <w:tcPr>
            <w:tcW w:w="817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</w:t>
            </w:r>
          </w:p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1 457,00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1 896,46 </w:t>
            </w:r>
          </w:p>
        </w:tc>
        <w:tc>
          <w:tcPr>
            <w:tcW w:w="1417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439,46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30,2 </w:t>
            </w:r>
          </w:p>
        </w:tc>
      </w:tr>
      <w:tr w:rsidR="00B15AB4">
        <w:trPr>
          <w:trHeight w:val="392"/>
        </w:trPr>
        <w:tc>
          <w:tcPr>
            <w:tcW w:w="817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</w:t>
            </w:r>
          </w:p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13 178,95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10 421,45 </w:t>
            </w:r>
          </w:p>
        </w:tc>
        <w:tc>
          <w:tcPr>
            <w:tcW w:w="1417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-2 757,50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- 20,9 </w:t>
            </w:r>
          </w:p>
        </w:tc>
      </w:tr>
      <w:tr w:rsidR="00B15AB4">
        <w:trPr>
          <w:trHeight w:val="411"/>
        </w:trPr>
        <w:tc>
          <w:tcPr>
            <w:tcW w:w="817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</w:t>
            </w:r>
          </w:p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1 490,54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9 246,56 </w:t>
            </w:r>
          </w:p>
        </w:tc>
        <w:tc>
          <w:tcPr>
            <w:tcW w:w="1417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7 756,02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520,3 </w:t>
            </w:r>
          </w:p>
        </w:tc>
      </w:tr>
      <w:tr w:rsidR="00B15AB4">
        <w:tc>
          <w:tcPr>
            <w:tcW w:w="817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</w:t>
            </w:r>
          </w:p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2 543,90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1 589,77 </w:t>
            </w:r>
          </w:p>
        </w:tc>
        <w:tc>
          <w:tcPr>
            <w:tcW w:w="1417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- 954,13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- 37,5 </w:t>
            </w:r>
          </w:p>
        </w:tc>
      </w:tr>
      <w:tr w:rsidR="00B15AB4">
        <w:tc>
          <w:tcPr>
            <w:tcW w:w="817" w:type="dxa"/>
            <w:noWrap/>
          </w:tcPr>
          <w:p w:rsidR="00B15AB4" w:rsidRDefault="00B15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color w:val="000000"/>
                <w:sz w:val="20"/>
                <w:szCs w:val="20"/>
              </w:rPr>
              <w:t>Всего неналоговые доходы</w:t>
            </w:r>
          </w:p>
        </w:tc>
        <w:tc>
          <w:tcPr>
            <w:tcW w:w="1275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59 452,03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63 755,59 </w:t>
            </w:r>
          </w:p>
        </w:tc>
        <w:tc>
          <w:tcPr>
            <w:tcW w:w="1417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4 303,56 </w:t>
            </w:r>
          </w:p>
        </w:tc>
        <w:tc>
          <w:tcPr>
            <w:tcW w:w="1418" w:type="dxa"/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7,2 </w:t>
            </w:r>
          </w:p>
        </w:tc>
      </w:tr>
    </w:tbl>
    <w:p w:rsidR="00B15AB4" w:rsidRDefault="00B15AB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Сравнение поступлений неналоговых доходов (по подгруппам) с аналогичным периодом прошлого года представлено ниже.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(1 11) </w:t>
      </w:r>
      <w:r>
        <w:rPr>
          <w:rFonts w:ascii="Times New Roman" w:eastAsia="Times New Roman,Bold" w:hAnsi="Times New Roman" w:cs="Times New Roman"/>
          <w:bCs/>
          <w:color w:val="000000"/>
          <w:sz w:val="28"/>
          <w:szCs w:val="28"/>
        </w:rPr>
        <w:t>Доходы от использования имущества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находящегося в государственной и муниципальной собственности, поступили в сумме  33 428,35 тыс. рублей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или 74,5 % от годового плана, на </w:t>
      </w:r>
      <w:r>
        <w:rPr>
          <w:rFonts w:ascii="Times New Roman" w:hAnsi="Times New Roman" w:cs="Times New Roman"/>
          <w:sz w:val="28"/>
          <w:szCs w:val="28"/>
        </w:rPr>
        <w:t>1 757,13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тыс. рублей или на 5,5 % больше поступлений аналогичного периода прошлого года (31 671,22 тыс. рублей).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аибольший объем поступлений по данному виду доходов составили:</w:t>
      </w:r>
    </w:p>
    <w:p w:rsidR="00B15AB4" w:rsidRDefault="00674647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Доходы, получаемые в виде арендной либо иной платы за передачу в возмездное пользование муниципального имущества в сумме 28 062,85 тыс. рублей;</w:t>
      </w:r>
    </w:p>
    <w:p w:rsidR="00B15AB4" w:rsidRDefault="00674647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поступления от использования имущества, находящегося в муниципальной собственности – 5 314,61 тыс. рублей;</w:t>
      </w:r>
    </w:p>
    <w:p w:rsidR="00B15AB4" w:rsidRDefault="0067464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(1 12) </w:t>
      </w:r>
      <w:r>
        <w:rPr>
          <w:rFonts w:ascii="Times New Roman" w:eastAsia="Times New Roman,Bold" w:hAnsi="Times New Roman" w:cs="Times New Roman"/>
          <w:bCs/>
          <w:color w:val="000000"/>
          <w:sz w:val="28"/>
          <w:szCs w:val="28"/>
        </w:rPr>
        <w:t xml:space="preserve">Платежи при пользовании природными ресурсами </w:t>
      </w:r>
      <w:r>
        <w:rPr>
          <w:rFonts w:ascii="Times New Roman" w:hAnsi="Times New Roman" w:cs="Times New Roman"/>
          <w:color w:val="000000"/>
          <w:sz w:val="28"/>
          <w:szCs w:val="28"/>
        </w:rPr>
        <w:t>в доход бюджета в отчетном периоде поступили в сумме 7 173,00 тыс. рублей или 127,2 годового плана.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(1 13) 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доходы от оказания платных услуг (работ) и компенсации затрат государства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поступили в сумме 1 896,46 тыс. рублей или 51,7 % годового плана.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(1 14) 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Доходы от продажи материальных и нематериальных активов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 1 полугодие 2025 года исполнены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10 421,45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тыс. рублей или 50,8 % годового плана. 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Из них наибольший объем поступлений составили: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- доходы от продажи земельных участков, находящихся в государственной и муниципальной собственности в сумме 4 661,20 тыс. рублей;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- плата за увеличение площади земельных участков, находящихся в частной собственности, в результате перераспределения таких земель, государственная собственность  на которые не разграничена  – 4 993,68 тыс. рублей.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 (1 16) 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Штрафы, санкции, возмещение ущерба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– исполнение составило 9 246,56 тыс. рублей или 402,0 % годового плана. Наибольший объем поступлений составили: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штрафы, неустойки, пени, уплаченные в соответствии с законом или договором в случае неисполнения или ненадлежащего исполнения обязательств в сумме 7 901,47 тыс. рублей;</w:t>
      </w:r>
    </w:p>
    <w:p w:rsidR="00B15AB4" w:rsidRDefault="00674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административные штрафы, установленные Кодексом Российской Федерации об административных правонарушениях  – 504,66 тыс. рублей;</w:t>
      </w:r>
    </w:p>
    <w:p w:rsidR="00B15AB4" w:rsidRDefault="00674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платежи, уплачиваемые в целях возмещения вреда - 321,62 тыс.рублей; </w:t>
      </w:r>
    </w:p>
    <w:p w:rsidR="00B15AB4" w:rsidRDefault="00674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платежи в целях возмещения причиненного ущерба (убытков) – 151,32 тыс. рублей.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 17) Прочие неналоговые доходы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поступили в сумме 1 589,77 тыс. рублей или 59,8 % годового плана.</w:t>
      </w:r>
    </w:p>
    <w:p w:rsidR="00B15AB4" w:rsidRDefault="00B1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Безвозмездные поступления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отчетном периоде с учетом возврата остатков субсидий, субвенций и иных межбюджетных трансфертов, имеющих целевое назначение, прошлых лет («минус»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5 499,44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тыс. рублей) составили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1 629 053,67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тыс. рублей или 55,7 % от плановых назначений на год.</w:t>
      </w:r>
    </w:p>
    <w:p w:rsidR="00B15AB4" w:rsidRDefault="00674647" w:rsidP="00E73EE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E73EE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Безвозмездные поступления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 видам поступлений представлены в таблице № 5:</w:t>
      </w:r>
    </w:p>
    <w:p w:rsidR="00E73EE2" w:rsidRDefault="00674647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>Таблица № 5</w:t>
      </w:r>
    </w:p>
    <w:tbl>
      <w:tblPr>
        <w:tblpPr w:leftFromText="180" w:rightFromText="180" w:vertAnchor="text" w:horzAnchor="page" w:tblpX="1565" w:tblpY="311"/>
        <w:tblOverlap w:val="never"/>
        <w:tblW w:w="9371" w:type="dxa"/>
        <w:tblLayout w:type="fixed"/>
        <w:tblLook w:val="04A0"/>
      </w:tblPr>
      <w:tblGrid>
        <w:gridCol w:w="1008"/>
        <w:gridCol w:w="2835"/>
        <w:gridCol w:w="1559"/>
        <w:gridCol w:w="1559"/>
        <w:gridCol w:w="1276"/>
        <w:gridCol w:w="1134"/>
      </w:tblGrid>
      <w:tr w:rsidR="00B15AB4">
        <w:trPr>
          <w:trHeight w:val="479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Группы/</w:t>
            </w:r>
          </w:p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подгруппы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1 полугодие 2024 года, тыс. руб.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1 полугодие 2025 года, тыс. руб.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 к 1 полугодию 2024 года</w:t>
            </w:r>
          </w:p>
        </w:tc>
      </w:tr>
      <w:tr w:rsidR="00B15AB4">
        <w:trPr>
          <w:trHeight w:val="634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15AB4" w:rsidRDefault="00B15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15AB4" w:rsidRDefault="00B15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:rsidR="00B15AB4" w:rsidRDefault="00B15A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B15AB4" w:rsidRDefault="00B15A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тыс. 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% </w:t>
            </w:r>
          </w:p>
        </w:tc>
      </w:tr>
      <w:tr w:rsidR="00B15AB4">
        <w:trPr>
          <w:trHeight w:val="103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2 02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1124 588,17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1628 064,29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503 476,12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44,8 </w:t>
            </w:r>
          </w:p>
        </w:tc>
      </w:tr>
      <w:tr w:rsidR="00B15AB4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232 906,97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259 548,88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26 641,91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11,4 </w:t>
            </w:r>
          </w:p>
        </w:tc>
      </w:tr>
      <w:tr w:rsidR="00B15AB4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118 341,10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504 950,46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386 609,36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326,7 </w:t>
            </w:r>
          </w:p>
        </w:tc>
      </w:tr>
      <w:tr w:rsidR="00B15AB4">
        <w:trPr>
          <w:trHeight w:val="129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745 727,66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785 422,03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39 694,37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5,3 </w:t>
            </w:r>
          </w:p>
        </w:tc>
      </w:tr>
      <w:tr w:rsidR="00B15AB4">
        <w:trPr>
          <w:trHeight w:val="40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27 612,44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78 142,92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50 530,48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183,0 </w:t>
            </w:r>
          </w:p>
        </w:tc>
      </w:tr>
      <w:tr w:rsidR="00B15AB4">
        <w:trPr>
          <w:trHeight w:val="507"/>
        </w:trPr>
        <w:tc>
          <w:tcPr>
            <w:tcW w:w="10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2 07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930,04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2 350,78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1 420,74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152,8 </w:t>
            </w:r>
          </w:p>
        </w:tc>
      </w:tr>
      <w:tr w:rsidR="00B15AB4">
        <w:trPr>
          <w:trHeight w:val="199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2 18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7 367,11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4 138,03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-3 229,08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- 43,8 </w:t>
            </w:r>
          </w:p>
        </w:tc>
      </w:tr>
      <w:tr w:rsidR="00B15AB4">
        <w:trPr>
          <w:trHeight w:val="3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1132 885,32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1634 553,10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501 667,78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44,3 </w:t>
            </w:r>
          </w:p>
        </w:tc>
      </w:tr>
      <w:tr w:rsidR="00B15AB4">
        <w:trPr>
          <w:trHeight w:val="102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2 19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-10 986,43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-5 499,44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5 486,99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- 49,9 </w:t>
            </w:r>
          </w:p>
        </w:tc>
      </w:tr>
      <w:tr w:rsidR="00B15AB4">
        <w:trPr>
          <w:trHeight w:val="16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БЕЗВОЗМЕЗДНЫЕ ПОСТУПЛЕНИЯ с учетом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1121 898,89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1629 053,66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507 154,77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AB4" w:rsidRDefault="00674647">
            <w:pPr>
              <w:jc w:val="righ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45,2 </w:t>
            </w:r>
          </w:p>
        </w:tc>
      </w:tr>
    </w:tbl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В рамках безвозмездных поступлений от других бюджетов бюджетной системы Российской Федерации (2 02 00000) в бюджет поступили: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дотации (2 02 10000)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259 548,88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тыс. рублей (47,5 % от плановых назначений);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субсидии (2 02 20000)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504 950,46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тыс. рублей (54,3 % от плановых значений); 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- субвенции (2 02 30000)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785 422,03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тыс. рублей (57,6 % от плановых назначений);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иные межбюджетные трансферты (2 02 40000)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78 142,92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тыс. рублей (88,4 % от плановых назначений). </w:t>
      </w: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>2.2. Расходы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На основании изменений в решение о бюджете и в бюджетную роспись уточненный план расходов бюджета на 2025 год составил 4 351 759,99 тыс. рублей, увеличен на 894 832,29 тыс. рублей или на 25,8 % по сравнению с первоначально утвержденным.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Расходы бюджета за 1 полугодие 2025 года исполнены в сумме 2 064 487,20 тыс. рублей, на уровне 47,4 % от уточненного годового плана, с увеличением на 576 330,51 тыс. рублей к уровню исполнения расходов в аналогичном периоде 2024 года.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Расходы бюджета были направлены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2 004 623,20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тыс. рублей (97,1 % от кассовых расходов) и непрограммных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>59 864,00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тыс. рублей (2,9 % от кассовых расходов).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Согласно 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ведомственной структуре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расходов бюджета ассигнования на 2025 год утверждены 12 главным распорядителям средств бюджета.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Информация об исполнении расходов главными распорядителями средств представлена в таблице № 6.</w:t>
      </w:r>
    </w:p>
    <w:p w:rsidR="00B15AB4" w:rsidRDefault="00674647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>Таблица № 6</w:t>
      </w:r>
    </w:p>
    <w:tbl>
      <w:tblPr>
        <w:tblW w:w="9503" w:type="dxa"/>
        <w:tblInd w:w="103" w:type="dxa"/>
        <w:tblLayout w:type="fixed"/>
        <w:tblLook w:val="04A0"/>
      </w:tblPr>
      <w:tblGrid>
        <w:gridCol w:w="3732"/>
        <w:gridCol w:w="641"/>
        <w:gridCol w:w="1295"/>
        <w:gridCol w:w="1282"/>
        <w:gridCol w:w="1268"/>
        <w:gridCol w:w="1285"/>
      </w:tblGrid>
      <w:tr w:rsidR="00B15AB4">
        <w:trPr>
          <w:trHeight w:val="600"/>
        </w:trPr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ГРБС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ведомства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 на 2025 год, тыс. руб.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за 1 полугодие 2025 года, тыс. руб.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 общей сумме расходов (%)</w:t>
            </w:r>
          </w:p>
        </w:tc>
      </w:tr>
      <w:tr w:rsidR="00B15AB4">
        <w:trPr>
          <w:trHeight w:val="500"/>
        </w:trPr>
        <w:tc>
          <w:tcPr>
            <w:tcW w:w="3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AB4" w:rsidRDefault="00B15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AB4" w:rsidRDefault="00B15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B1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исполнению</w:t>
            </w:r>
          </w:p>
        </w:tc>
      </w:tr>
      <w:tr w:rsidR="00B15AB4">
        <w:trPr>
          <w:trHeight w:val="900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Богородского муниципального округа Нижегородской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43 453,73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18 152,06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1,0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0,9 </w:t>
            </w:r>
          </w:p>
        </w:tc>
      </w:tr>
      <w:tr w:rsidR="00B15AB4">
        <w:trPr>
          <w:trHeight w:val="900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 администрации Богородского муниципального округа Нижегородской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139 420,80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67 089,30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3,2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3,2 </w:t>
            </w:r>
          </w:p>
        </w:tc>
      </w:tr>
      <w:tr w:rsidR="00B15AB4">
        <w:trPr>
          <w:trHeight w:val="900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молодежной политики администрации Богородского муниципального округа Нижегородской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1862 847,33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973 392,33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42,8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47,1 </w:t>
            </w:r>
          </w:p>
        </w:tc>
      </w:tr>
      <w:tr w:rsidR="00B15AB4">
        <w:trPr>
          <w:trHeight w:val="675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Богородского муниципального округа Нижегородской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228 232,55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108 068,28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5,2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5,2 </w:t>
            </w:r>
          </w:p>
        </w:tc>
      </w:tr>
      <w:tr w:rsidR="00B15AB4">
        <w:trPr>
          <w:trHeight w:val="400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депутатов Богородского муниципального округа Нижегородской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4 426,34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2 478,10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0,1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0,1 </w:t>
            </w:r>
          </w:p>
        </w:tc>
      </w:tr>
      <w:tr w:rsidR="00B15AB4">
        <w:trPr>
          <w:trHeight w:val="900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Богородского муниципального округа Нижегородской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115 949,75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77 307,37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2,7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3,7 </w:t>
            </w:r>
          </w:p>
        </w:tc>
      </w:tr>
      <w:tr w:rsidR="00B15AB4">
        <w:trPr>
          <w:trHeight w:val="675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капитального строительства и градостроительной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787 137,05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435 421,78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18,1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21,1 </w:t>
            </w:r>
          </w:p>
        </w:tc>
      </w:tr>
      <w:tr w:rsidR="00B15AB4">
        <w:trPr>
          <w:trHeight w:val="1125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имущественных и земельных отношений, учета и распределения жилья  администрации Богородского муниципального округа Нижегородской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256 411,19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111 582,00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5,9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5,4 </w:t>
            </w:r>
          </w:p>
        </w:tc>
      </w:tr>
      <w:tr w:rsidR="00B15AB4">
        <w:trPr>
          <w:trHeight w:val="675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Богородского муниципального округа Нижегородской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365 840,41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107 851,11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8,4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5,2 </w:t>
            </w:r>
          </w:p>
        </w:tc>
      </w:tr>
      <w:tr w:rsidR="00B15AB4">
        <w:trPr>
          <w:trHeight w:val="90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и проектной деятельности администрации Богородского  муниципального района Нижегородской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492 264,57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151 068,08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11,3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7,3 </w:t>
            </w:r>
          </w:p>
        </w:tc>
      </w:tr>
      <w:tr w:rsidR="00B15AB4">
        <w:trPr>
          <w:trHeight w:val="675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Контрольно-счетная комиссия  Богородского муниципального округа Нижегородской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2 668,67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1 515,24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0,1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0,1 </w:t>
            </w:r>
          </w:p>
        </w:tc>
      </w:tr>
      <w:tr w:rsidR="00B15AB4">
        <w:trPr>
          <w:trHeight w:val="255"/>
        </w:trPr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и экологии администрации Богородского муниципального округа Нижегородской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AB4" w:rsidRDefault="006746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53 107,60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10 561,55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1,2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0,5 </w:t>
            </w:r>
          </w:p>
        </w:tc>
      </w:tr>
      <w:tr w:rsidR="00B15AB4">
        <w:trPr>
          <w:trHeight w:val="291"/>
        </w:trPr>
        <w:tc>
          <w:tcPr>
            <w:tcW w:w="3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15AB4" w:rsidRDefault="006746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B15AB4" w:rsidRDefault="00B15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4351 759,99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2064 487,20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100,0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15AB4" w:rsidRDefault="00674647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100,0 </w:t>
            </w:r>
          </w:p>
        </w:tc>
      </w:tr>
    </w:tbl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 Анализ исполнения расходов бюджета 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в разрезе разделов классификации расходов бюджетов показал следующее.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  <w:t xml:space="preserve">Наибольшую долю в общем объеме расходов бюджета в 1 полугодии 2025 года составили расходы по разделам: 04 00 «Национальная экономика» - </w:t>
      </w:r>
      <w:r>
        <w:rPr>
          <w:rFonts w:ascii="Times New Roman" w:hAnsi="Times New Roman" w:cs="Times New Roman"/>
          <w:sz w:val="28"/>
          <w:szCs w:val="28"/>
        </w:rPr>
        <w:t>128 749,42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тыс. рублей (6,2 %), 05 00 «Жилищно-коммунальное хозяйство» - 558 810,94 тыс. рублей (27,1 %), 07 00 «Образование» - </w:t>
      </w:r>
      <w:r>
        <w:rPr>
          <w:rFonts w:ascii="Times New Roman" w:hAnsi="Times New Roman" w:cs="Times New Roman"/>
          <w:sz w:val="28"/>
          <w:szCs w:val="28"/>
        </w:rPr>
        <w:t>1 024 663,27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тыс. рублей (49,6 %)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iCs/>
          <w:color w:val="000000"/>
          <w:sz w:val="28"/>
          <w:szCs w:val="28"/>
        </w:rPr>
        <w:t xml:space="preserve">2.3. Дорожный фонд 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  <w:t>Поступления в дорожный фонд за 1 полугодие 2025 год составили в сумме 22 069,00 тыс. рублей или 16,2 % о</w:t>
      </w:r>
      <w:r w:rsidR="00E73EE2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т годовых прогнозных назначений.</w:t>
      </w:r>
    </w:p>
    <w:p w:rsidR="00B15AB4" w:rsidRDefault="00674647">
      <w:pPr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0"/>
          <w:szCs w:val="20"/>
        </w:rPr>
        <w:t>Таблица № 7(тыс. рублей)</w:t>
      </w:r>
    </w:p>
    <w:tbl>
      <w:tblPr>
        <w:tblStyle w:val="af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15AB4">
        <w:tc>
          <w:tcPr>
            <w:tcW w:w="2392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Наименование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Уточненный показатель на год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Исполнено на 01.07.2025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noWrap/>
          </w:tcPr>
          <w:p w:rsidR="00B15AB4" w:rsidRDefault="00674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% исполнения к году</w:t>
            </w:r>
          </w:p>
          <w:p w:rsidR="00B15AB4" w:rsidRDefault="00B15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B15AB4">
        <w:tc>
          <w:tcPr>
            <w:tcW w:w="2392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Остатки на начало года</w:t>
            </w:r>
          </w:p>
        </w:tc>
        <w:tc>
          <w:tcPr>
            <w:tcW w:w="2393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7 244,86</w:t>
            </w:r>
          </w:p>
        </w:tc>
        <w:tc>
          <w:tcPr>
            <w:tcW w:w="2393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7 244,86</w:t>
            </w:r>
          </w:p>
        </w:tc>
        <w:tc>
          <w:tcPr>
            <w:tcW w:w="2393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B15AB4">
        <w:tc>
          <w:tcPr>
            <w:tcW w:w="2392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93" w:type="dxa"/>
            <w:noWrap/>
          </w:tcPr>
          <w:p w:rsidR="00B15AB4" w:rsidRDefault="00674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54 396,00</w:t>
            </w:r>
          </w:p>
        </w:tc>
        <w:tc>
          <w:tcPr>
            <w:tcW w:w="2393" w:type="dxa"/>
            <w:noWrap/>
          </w:tcPr>
          <w:p w:rsidR="00B15AB4" w:rsidRDefault="00674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22 069,00</w:t>
            </w:r>
          </w:p>
        </w:tc>
        <w:tc>
          <w:tcPr>
            <w:tcW w:w="2393" w:type="dxa"/>
            <w:noWrap/>
          </w:tcPr>
          <w:p w:rsidR="00B15AB4" w:rsidRDefault="00674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</w:tr>
      <w:tr w:rsidR="00B15AB4">
        <w:tc>
          <w:tcPr>
            <w:tcW w:w="2392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Поступления из областного бюджета</w:t>
            </w:r>
          </w:p>
        </w:tc>
        <w:tc>
          <w:tcPr>
            <w:tcW w:w="2393" w:type="dxa"/>
            <w:noWrap/>
          </w:tcPr>
          <w:p w:rsidR="00B15AB4" w:rsidRDefault="00674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52 198,00</w:t>
            </w:r>
          </w:p>
        </w:tc>
        <w:tc>
          <w:tcPr>
            <w:tcW w:w="2393" w:type="dxa"/>
            <w:noWrap/>
          </w:tcPr>
          <w:p w:rsidR="00B15AB4" w:rsidRDefault="00674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3" w:type="dxa"/>
            <w:noWrap/>
          </w:tcPr>
          <w:p w:rsidR="00B15AB4" w:rsidRDefault="00674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AB4">
        <w:tc>
          <w:tcPr>
            <w:tcW w:w="2392" w:type="dxa"/>
            <w:noWrap/>
          </w:tcPr>
          <w:p w:rsidR="00B15AB4" w:rsidRDefault="0067464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393" w:type="dxa"/>
            <w:noWrap/>
          </w:tcPr>
          <w:p w:rsidR="00B15AB4" w:rsidRDefault="00674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113 838,86</w:t>
            </w:r>
          </w:p>
        </w:tc>
        <w:tc>
          <w:tcPr>
            <w:tcW w:w="2393" w:type="dxa"/>
            <w:noWrap/>
          </w:tcPr>
          <w:p w:rsidR="00B15AB4" w:rsidRDefault="00E73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29 313,86</w:t>
            </w:r>
          </w:p>
        </w:tc>
        <w:tc>
          <w:tcPr>
            <w:tcW w:w="2393" w:type="dxa"/>
            <w:noWrap/>
          </w:tcPr>
          <w:p w:rsidR="00B15AB4" w:rsidRDefault="00674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  <w:t>Расходы дорожного фонда исполнены в 1 полугодии 2025 года в сумме 19 178,00 тыс. рублей или 16,8 % от уточнённого плана.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  <w:t>Исполнение дорожного фонда осуществлялось в рамках подпрограммы «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» муниципальной программы «Развитие дорожного хозяйства Богородского муниципального округа Нижегородской области». 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  <w:t>На 01.07.2025 года сформировались неиспользованные остатки в сумме 10 135,86 тыс. рублей.</w:t>
      </w:r>
    </w:p>
    <w:p w:rsidR="00B15AB4" w:rsidRDefault="0067464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  <w:t>Соблюдение требований статьи 179.4 Бюджетного кодекса РФ обеспечено.</w:t>
      </w:r>
    </w:p>
    <w:p w:rsidR="00B15AB4" w:rsidRDefault="00B15AB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74647" w:rsidRDefault="00674647" w:rsidP="00674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iCs/>
          <w:color w:val="000000"/>
          <w:sz w:val="28"/>
          <w:szCs w:val="28"/>
        </w:rPr>
        <w:t xml:space="preserve">2.4. Резервные фонды администрации Богородского муниципального округа Нижегородской области </w:t>
      </w:r>
    </w:p>
    <w:p w:rsidR="00674647" w:rsidRDefault="00674647" w:rsidP="00674647">
      <w:pPr>
        <w:autoSpaceDE w:val="0"/>
        <w:autoSpaceDN w:val="0"/>
        <w:adjustRightInd w:val="0"/>
        <w:spacing w:after="0" w:line="240" w:lineRule="auto"/>
        <w:rPr>
          <w:rFonts w:eastAsia="Times New Roman,Bold" w:cs="Times New Roman,Bold"/>
          <w:bCs/>
          <w:iCs/>
          <w:color w:val="000000"/>
          <w:sz w:val="26"/>
          <w:szCs w:val="26"/>
        </w:rPr>
      </w:pPr>
    </w:p>
    <w:p w:rsidR="00674647" w:rsidRDefault="00674647" w:rsidP="00674647">
      <w:pPr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  <w:t>Решением о бюджете на 202</w:t>
      </w:r>
      <w:r w:rsidR="005F3C27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5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год резервные фонды администрации Богородского муниципального округа первоначально были утверждены в сумме </w:t>
      </w:r>
      <w:r w:rsidR="00E463DB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41 977,75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тыс.</w:t>
      </w:r>
      <w:r w:rsidR="00ED0333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рублей, что составило 1,2 % от утвержденного общего объема расходов. За </w:t>
      </w:r>
      <w:r w:rsidR="00E463DB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1 полугодие 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202</w:t>
      </w:r>
      <w:r w:rsidR="00E463DB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5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год объем резервного фонда уменьшен на </w:t>
      </w:r>
      <w:r w:rsidR="00E463DB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36</w:t>
      </w:r>
      <w:r w:rsidR="00B465F6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 638,07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тыс.</w:t>
      </w:r>
      <w:r w:rsidR="00B465F6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674647" w:rsidRDefault="00674647" w:rsidP="00674647">
      <w:pPr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постановлениями администрации Богородского муниципального округа Нижегородской области от 24.03.2021 № 727 «Об утверждении Порядка создания, использования и восполнения резервного фонда администрации Богородского муниципального округа Нижегородской области для предупреждения и ликвидации чрезвычайных ситуаций» и от 24.03.2021 № 726 «Об утверждении Порядка использования бюджетных ассигнований резервного фонда администрации Богородского муниципального округа Нижегородской области»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E463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внесены изменения в сводную бюджетную роспись</w:t>
      </w:r>
      <w:r w:rsidR="00E463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E463D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из резервных фондов бюджетны</w:t>
      </w:r>
      <w:r w:rsidR="00E463D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E463D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463DB">
        <w:rPr>
          <w:rFonts w:ascii="Times New Roman" w:hAnsi="Times New Roman" w:cs="Times New Roman"/>
          <w:sz w:val="28"/>
          <w:szCs w:val="28"/>
        </w:rPr>
        <w:t>2 566,24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74647" w:rsidRDefault="00674647" w:rsidP="00674647">
      <w:pPr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округа за счет средств резервных фондов составило </w:t>
      </w:r>
      <w:r w:rsidR="00E463DB">
        <w:rPr>
          <w:rFonts w:ascii="Times New Roman" w:hAnsi="Times New Roman" w:cs="Times New Roman"/>
          <w:sz w:val="28"/>
          <w:szCs w:val="28"/>
        </w:rPr>
        <w:t>2 493,57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 </w:t>
      </w:r>
      <w:r w:rsidR="00E463DB">
        <w:rPr>
          <w:rFonts w:ascii="Times New Roman" w:hAnsi="Times New Roman" w:cs="Times New Roman"/>
          <w:sz w:val="28"/>
          <w:szCs w:val="28"/>
        </w:rPr>
        <w:t>326,57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направлено на </w:t>
      </w:r>
      <w:r w:rsidR="00E463DB">
        <w:rPr>
          <w:rFonts w:ascii="Times New Roman" w:hAnsi="Times New Roman" w:cs="Times New Roman"/>
          <w:sz w:val="28"/>
          <w:szCs w:val="28"/>
        </w:rPr>
        <w:t>проведение аварийно-восстановительных работ на обследование несущих конструкций многоквартирного дома № 15 по ул.</w:t>
      </w:r>
      <w:r w:rsidR="00B465F6">
        <w:rPr>
          <w:rFonts w:ascii="Times New Roman" w:hAnsi="Times New Roman" w:cs="Times New Roman"/>
          <w:sz w:val="28"/>
          <w:szCs w:val="28"/>
        </w:rPr>
        <w:t xml:space="preserve"> </w:t>
      </w:r>
      <w:r w:rsidR="00E463DB">
        <w:rPr>
          <w:rFonts w:ascii="Times New Roman" w:hAnsi="Times New Roman" w:cs="Times New Roman"/>
          <w:sz w:val="28"/>
          <w:szCs w:val="28"/>
        </w:rPr>
        <w:t>Огарева г.</w:t>
      </w:r>
      <w:r w:rsidR="00B465F6">
        <w:rPr>
          <w:rFonts w:ascii="Times New Roman" w:hAnsi="Times New Roman" w:cs="Times New Roman"/>
          <w:sz w:val="28"/>
          <w:szCs w:val="28"/>
        </w:rPr>
        <w:t xml:space="preserve"> </w:t>
      </w:r>
      <w:r w:rsidR="00E463DB">
        <w:rPr>
          <w:rFonts w:ascii="Times New Roman" w:hAnsi="Times New Roman" w:cs="Times New Roman"/>
          <w:sz w:val="28"/>
          <w:szCs w:val="28"/>
        </w:rPr>
        <w:t>Богородска, 2 137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0F2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 – на оказание материаль</w:t>
      </w:r>
      <w:r w:rsidR="00E463DB">
        <w:rPr>
          <w:rFonts w:ascii="Times New Roman" w:hAnsi="Times New Roman" w:cs="Times New Roman"/>
          <w:sz w:val="28"/>
          <w:szCs w:val="28"/>
        </w:rPr>
        <w:t>ной помощи гражданам, 30,0 тыс. рублей – на ремонт передвижной электростанции в целях проведения мероприятий по предупреждению ЧС.</w:t>
      </w:r>
    </w:p>
    <w:p w:rsidR="00674647" w:rsidRDefault="00674647" w:rsidP="00674647">
      <w:pPr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  <w:t xml:space="preserve">Нераспределенный остаток резервных фондов составил </w:t>
      </w:r>
      <w:r w:rsidR="00E463DB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5 339,68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тыс. рублей. Неиспользованный остаток распределенных бюджетных ассигнований –</w:t>
      </w:r>
      <w:r w:rsidR="00E463DB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72,67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тыс.</w:t>
      </w:r>
      <w:r w:rsidR="005F3C27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674647" w:rsidRDefault="00674647" w:rsidP="00674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  <w:highlight w:val="green"/>
        </w:rPr>
      </w:pP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iCs/>
          <w:color w:val="000000"/>
          <w:sz w:val="28"/>
          <w:szCs w:val="28"/>
        </w:rPr>
        <w:t>2.5. Бюджетные инвестиции в объекты капитального строительства</w:t>
      </w:r>
    </w:p>
    <w:p w:rsidR="00B15AB4" w:rsidRDefault="0067464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  <w:t xml:space="preserve">Осуществление бюджетных инвестиций в объекты капитального строительства в 2025 году запланировано в сумме </w:t>
      </w:r>
      <w:r w:rsidR="00ED0333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102 705,30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тыс. рублей.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</w:r>
    </w:p>
    <w:p w:rsidR="00B15AB4" w:rsidRDefault="00674647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eastAsia="Times New Roman,Bold" w:hAnsi="Times New Roman" w:cs="Times New Roman"/>
          <w:bCs/>
          <w:iCs/>
          <w:sz w:val="28"/>
          <w:szCs w:val="28"/>
        </w:rPr>
        <w:t>По состоянию на 01.07.2025 кассовый расход составил</w:t>
      </w:r>
      <w:r w:rsidR="00ED0333">
        <w:rPr>
          <w:rFonts w:ascii="Times New Roman" w:eastAsia="Times New Roman,Bold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,Bold" w:hAnsi="Times New Roman" w:cs="Times New Roman"/>
          <w:bCs/>
          <w:iCs/>
          <w:sz w:val="28"/>
          <w:szCs w:val="28"/>
        </w:rPr>
        <w:t>3 604,9 тыс. рублей.</w:t>
      </w:r>
    </w:p>
    <w:p w:rsidR="00ED0333" w:rsidRDefault="00ED0333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sz w:val="28"/>
          <w:szCs w:val="28"/>
        </w:rPr>
        <w:tab/>
        <w:t>Основная доля расходов запланирована на проектирование и реконструкцию автомобильной дороги «Подъезд к причалу от д.Подъяблонное в Богородском муниципальном округе Нижегородской области»</w:t>
      </w:r>
      <w:r w:rsidR="00A86A2F">
        <w:rPr>
          <w:rFonts w:ascii="Times New Roman" w:eastAsia="Times New Roman,Bold" w:hAnsi="Times New Roman" w:cs="Times New Roman"/>
          <w:bCs/>
          <w:iCs/>
          <w:sz w:val="28"/>
          <w:szCs w:val="28"/>
        </w:rPr>
        <w:t xml:space="preserve"> в сумме 34 915,6 тыс. рублей или 34,0 % от общего объема бюджетных инвестиций в объекты капитального строительства, на напорный канализационный коллектор от с.Каменки Богородского муниципального округа до пос.Кудьма в сумме 16 831,3 тыс. рублей, очистные сооружения хозяйственно-бытовых сточных вод в д.Инютино в сумме 15 481,6 тыс. рублей.</w:t>
      </w:r>
    </w:p>
    <w:p w:rsidR="00B15AB4" w:rsidRDefault="00B15AB4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iCs/>
          <w:sz w:val="28"/>
          <w:szCs w:val="28"/>
        </w:rPr>
      </w:pPr>
    </w:p>
    <w:p w:rsidR="0068380A" w:rsidRDefault="0068380A">
      <w:pPr>
        <w:spacing w:after="0" w:line="240" w:lineRule="auto"/>
        <w:jc w:val="both"/>
        <w:rPr>
          <w:rFonts w:ascii="Times New Roman" w:eastAsia="Times New Roman,Bold" w:hAnsi="Times New Roman" w:cs="Times New Roman"/>
          <w:bCs/>
          <w:iCs/>
          <w:sz w:val="28"/>
          <w:szCs w:val="28"/>
        </w:rPr>
      </w:pPr>
    </w:p>
    <w:p w:rsidR="00B15AB4" w:rsidRDefault="0067464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iCs/>
          <w:color w:val="000000"/>
          <w:sz w:val="28"/>
          <w:szCs w:val="28"/>
        </w:rPr>
        <w:lastRenderedPageBreak/>
        <w:t>3. Источники финансирования дефицита бюджета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  <w:t xml:space="preserve">Источники финансирования дефицита бюджета на 01.07.2025 исполнены в сумме фактического профицита 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75 067,38 т</w:t>
      </w: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ыс. рублей при плановом дефиците в сумме 242 316,67 тыс. рублей.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</w:r>
      <w:r w:rsidR="008C2877" w:rsidRPr="008C2877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И</w:t>
      </w:r>
      <w:r w:rsidRPr="008C2877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сточник</w:t>
      </w:r>
      <w:r w:rsidR="008C2877" w:rsidRPr="008C2877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>ом</w:t>
      </w:r>
      <w:r w:rsidRPr="008C2877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финансирования дефицита бюджета </w:t>
      </w:r>
      <w:r w:rsidR="008C2877" w:rsidRPr="008C2877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является изменение </w:t>
      </w:r>
      <w:r w:rsidRPr="008C2877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остатков средств на </w:t>
      </w:r>
      <w:r w:rsidR="008C2877" w:rsidRPr="008C2877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счетах по учету средств бюджета </w:t>
      </w:r>
      <w:r w:rsidRPr="008C2877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в сумме </w:t>
      </w:r>
      <w:r w:rsidRPr="008C2877">
        <w:rPr>
          <w:rFonts w:ascii="Times New Roman" w:hAnsi="Times New Roman" w:cs="Times New Roman"/>
          <w:bCs/>
          <w:color w:val="000000"/>
          <w:sz w:val="28"/>
          <w:szCs w:val="28"/>
        </w:rPr>
        <w:t>75 067,38</w:t>
      </w:r>
      <w:r w:rsidRPr="008C2877"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 xml:space="preserve"> тыс. рублей. </w:t>
      </w:r>
    </w:p>
    <w:p w:rsidR="00B15AB4" w:rsidRDefault="00674647">
      <w:pPr>
        <w:pStyle w:val="af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iCs/>
          <w:color w:val="000000"/>
          <w:sz w:val="28"/>
          <w:szCs w:val="28"/>
        </w:rPr>
        <w:t>Муниципальный долг</w:t>
      </w:r>
    </w:p>
    <w:p w:rsidR="00B15AB4" w:rsidRDefault="00674647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Верхний предел муниципального внутреннего долга Богородского муниципального округа Нижегородской области установлен на 1 января 2025 года в размере равном 0,00 тыс. рублей, в том числе верхний предел долга по муниципальным гарантиям в размере 0,00 тыс. рублей.</w:t>
      </w:r>
    </w:p>
    <w:p w:rsidR="007C5EFD" w:rsidRDefault="007C5EFD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Ограничения, установленные статьей 92.1 Бюджетного кодекса РФ, соблюдены.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Заемные средства (кредиты коммерческих банков, бюджетные кредиты) в 1 полугодии 2025 года не привлекались.</w:t>
      </w:r>
    </w:p>
    <w:p w:rsidR="00B15AB4" w:rsidRDefault="00B15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Нарушений и несоответствий при исполнении бюджета Богородского муниципального округа Нижегородской области за первое полугодие 2025 года, требованиям бюджетного законодательства Российской Федерации, не установлено.</w:t>
      </w:r>
    </w:p>
    <w:p w:rsidR="00B15AB4" w:rsidRDefault="00B15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контрольно-счетной</w:t>
      </w:r>
    </w:p>
    <w:p w:rsidR="00EA4A0C" w:rsidRDefault="0067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Богородского </w:t>
      </w:r>
    </w:p>
    <w:p w:rsidR="00EA4A0C" w:rsidRDefault="0067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B15AB4" w:rsidRDefault="0067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EA4A0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Н.В.Гуськова</w:t>
      </w:r>
    </w:p>
    <w:p w:rsidR="00B15AB4" w:rsidRDefault="00B15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AB4" w:rsidRDefault="00B15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AB4" w:rsidRDefault="00B15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80A" w:rsidRDefault="006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80A" w:rsidRDefault="006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AB4" w:rsidRDefault="00B15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AB4" w:rsidRDefault="006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824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.08.2025</w:t>
      </w:r>
    </w:p>
    <w:sectPr w:rsidR="00B15AB4" w:rsidSect="00B15AB4">
      <w:footerReference w:type="default" r:id="rId9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DF" w:rsidRDefault="00863FDF">
      <w:pPr>
        <w:spacing w:line="240" w:lineRule="auto"/>
      </w:pPr>
      <w:r>
        <w:separator/>
      </w:r>
    </w:p>
  </w:endnote>
  <w:endnote w:type="continuationSeparator" w:id="1">
    <w:p w:rsidR="00863FDF" w:rsidRDefault="00863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MS Mincho"/>
    <w:charset w:val="80"/>
    <w:family w:val="auto"/>
    <w:pitch w:val="default"/>
    <w:sig w:usb0="00000000" w:usb1="00000000" w:usb2="00000010" w:usb3="00000000" w:csb0="00020000" w:csb1="00000000"/>
  </w:font>
  <w:font w:name="Arial Cyr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99670"/>
    </w:sdtPr>
    <w:sdtContent>
      <w:p w:rsidR="00E463DB" w:rsidRDefault="003272DD">
        <w:pPr>
          <w:pStyle w:val="Footer"/>
          <w:jc w:val="right"/>
        </w:pPr>
        <w:fldSimple w:instr="PAGE \* MERGEFORMAT">
          <w:r w:rsidR="00EA4A0C">
            <w:rPr>
              <w:noProof/>
            </w:rPr>
            <w:t>9</w:t>
          </w:r>
        </w:fldSimple>
      </w:p>
    </w:sdtContent>
  </w:sdt>
  <w:p w:rsidR="00E463DB" w:rsidRDefault="00E463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DF" w:rsidRDefault="00863FDF">
      <w:pPr>
        <w:spacing w:after="0"/>
      </w:pPr>
      <w:r>
        <w:separator/>
      </w:r>
    </w:p>
  </w:footnote>
  <w:footnote w:type="continuationSeparator" w:id="1">
    <w:p w:rsidR="00863FDF" w:rsidRDefault="00863FD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550"/>
    <w:multiLevelType w:val="multilevel"/>
    <w:tmpl w:val="0391055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4727BE"/>
    <w:multiLevelType w:val="multilevel"/>
    <w:tmpl w:val="144727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127BA"/>
    <w:rsid w:val="00027CFE"/>
    <w:rsid w:val="000541F5"/>
    <w:rsid w:val="000709A3"/>
    <w:rsid w:val="000905BB"/>
    <w:rsid w:val="00095344"/>
    <w:rsid w:val="000974BA"/>
    <w:rsid w:val="000B4011"/>
    <w:rsid w:val="000F212A"/>
    <w:rsid w:val="00147AEE"/>
    <w:rsid w:val="00172A27"/>
    <w:rsid w:val="001A3BA8"/>
    <w:rsid w:val="001C6A04"/>
    <w:rsid w:val="00220B1F"/>
    <w:rsid w:val="002225E3"/>
    <w:rsid w:val="00234091"/>
    <w:rsid w:val="00297B81"/>
    <w:rsid w:val="002C1D6B"/>
    <w:rsid w:val="002C21A2"/>
    <w:rsid w:val="002C2B67"/>
    <w:rsid w:val="003272DD"/>
    <w:rsid w:val="00327E57"/>
    <w:rsid w:val="00364E51"/>
    <w:rsid w:val="0037428C"/>
    <w:rsid w:val="003A3AF6"/>
    <w:rsid w:val="0041258F"/>
    <w:rsid w:val="00482406"/>
    <w:rsid w:val="00494D94"/>
    <w:rsid w:val="00522A08"/>
    <w:rsid w:val="00557FA8"/>
    <w:rsid w:val="00590684"/>
    <w:rsid w:val="00592257"/>
    <w:rsid w:val="005B7214"/>
    <w:rsid w:val="005F3C27"/>
    <w:rsid w:val="006127BA"/>
    <w:rsid w:val="00667000"/>
    <w:rsid w:val="00674647"/>
    <w:rsid w:val="0068380A"/>
    <w:rsid w:val="00695DFE"/>
    <w:rsid w:val="0069762E"/>
    <w:rsid w:val="00775FDC"/>
    <w:rsid w:val="007C5203"/>
    <w:rsid w:val="007C5EFD"/>
    <w:rsid w:val="00863FDF"/>
    <w:rsid w:val="008C2877"/>
    <w:rsid w:val="008E3EB6"/>
    <w:rsid w:val="008E574C"/>
    <w:rsid w:val="008F57EC"/>
    <w:rsid w:val="008F6210"/>
    <w:rsid w:val="00904688"/>
    <w:rsid w:val="00986ADB"/>
    <w:rsid w:val="009B24BF"/>
    <w:rsid w:val="009F53CF"/>
    <w:rsid w:val="00A06C23"/>
    <w:rsid w:val="00A86A2F"/>
    <w:rsid w:val="00AB1074"/>
    <w:rsid w:val="00AE3563"/>
    <w:rsid w:val="00AF7F75"/>
    <w:rsid w:val="00B15AB4"/>
    <w:rsid w:val="00B27142"/>
    <w:rsid w:val="00B465F6"/>
    <w:rsid w:val="00B706BF"/>
    <w:rsid w:val="00B74930"/>
    <w:rsid w:val="00BA1E20"/>
    <w:rsid w:val="00BB137C"/>
    <w:rsid w:val="00BB20AD"/>
    <w:rsid w:val="00BC0F5B"/>
    <w:rsid w:val="00BD0004"/>
    <w:rsid w:val="00BF75A6"/>
    <w:rsid w:val="00C54643"/>
    <w:rsid w:val="00CB44A0"/>
    <w:rsid w:val="00D3763B"/>
    <w:rsid w:val="00D61976"/>
    <w:rsid w:val="00DB10C7"/>
    <w:rsid w:val="00DB3AAB"/>
    <w:rsid w:val="00E01E68"/>
    <w:rsid w:val="00E305C8"/>
    <w:rsid w:val="00E42042"/>
    <w:rsid w:val="00E463DB"/>
    <w:rsid w:val="00E73EE2"/>
    <w:rsid w:val="00EA4A0C"/>
    <w:rsid w:val="00ED0333"/>
    <w:rsid w:val="00FC0E6B"/>
    <w:rsid w:val="00FE09B5"/>
    <w:rsid w:val="080D7556"/>
    <w:rsid w:val="0B390D47"/>
    <w:rsid w:val="1942365F"/>
    <w:rsid w:val="1CC57F42"/>
    <w:rsid w:val="288E2F80"/>
    <w:rsid w:val="5DD20C8F"/>
    <w:rsid w:val="6B732357"/>
    <w:rsid w:val="71AC5F03"/>
    <w:rsid w:val="73CF0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B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B15AB4"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B15AB4"/>
    <w:rPr>
      <w:vertAlign w:val="superscript"/>
    </w:rPr>
  </w:style>
  <w:style w:type="character" w:styleId="a5">
    <w:name w:val="Hyperlink"/>
    <w:uiPriority w:val="99"/>
    <w:unhideWhenUsed/>
    <w:qFormat/>
    <w:rsid w:val="00B15AB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B15A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rsid w:val="00B15AB4"/>
    <w:pPr>
      <w:spacing w:after="0" w:line="240" w:lineRule="auto"/>
    </w:pPr>
    <w:rPr>
      <w:sz w:val="20"/>
    </w:rPr>
  </w:style>
  <w:style w:type="paragraph" w:styleId="aa">
    <w:name w:val="footnote text"/>
    <w:basedOn w:val="a"/>
    <w:link w:val="ab"/>
    <w:uiPriority w:val="99"/>
    <w:semiHidden/>
    <w:unhideWhenUsed/>
    <w:qFormat/>
    <w:rsid w:val="00B15AB4"/>
    <w:pPr>
      <w:spacing w:after="40" w:line="240" w:lineRule="auto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rsid w:val="00B15AB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rsid w:val="00B15AB4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rsid w:val="00B15AB4"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qFormat/>
    <w:rsid w:val="00B15AB4"/>
    <w:pPr>
      <w:spacing w:after="57"/>
    </w:pPr>
  </w:style>
  <w:style w:type="paragraph" w:styleId="6">
    <w:name w:val="toc 6"/>
    <w:basedOn w:val="a"/>
    <w:next w:val="a"/>
    <w:uiPriority w:val="39"/>
    <w:unhideWhenUsed/>
    <w:qFormat/>
    <w:rsid w:val="00B15AB4"/>
    <w:pPr>
      <w:spacing w:after="57"/>
      <w:ind w:left="1417"/>
    </w:pPr>
  </w:style>
  <w:style w:type="paragraph" w:styleId="ac">
    <w:name w:val="table of figures"/>
    <w:basedOn w:val="a"/>
    <w:next w:val="a"/>
    <w:uiPriority w:val="99"/>
    <w:unhideWhenUsed/>
    <w:qFormat/>
    <w:rsid w:val="00B15AB4"/>
    <w:pPr>
      <w:spacing w:after="0"/>
    </w:pPr>
  </w:style>
  <w:style w:type="paragraph" w:styleId="3">
    <w:name w:val="toc 3"/>
    <w:basedOn w:val="a"/>
    <w:next w:val="a"/>
    <w:uiPriority w:val="39"/>
    <w:unhideWhenUsed/>
    <w:qFormat/>
    <w:rsid w:val="00B15AB4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rsid w:val="00B15AB4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rsid w:val="00B15AB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rsid w:val="00B15AB4"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rsid w:val="00B15AB4"/>
    <w:pPr>
      <w:spacing w:before="300"/>
      <w:contextualSpacing/>
    </w:pPr>
    <w:rPr>
      <w:sz w:val="48"/>
      <w:szCs w:val="48"/>
    </w:rPr>
  </w:style>
  <w:style w:type="paragraph" w:styleId="af">
    <w:name w:val="Normal (Web)"/>
    <w:basedOn w:val="a"/>
    <w:link w:val="af0"/>
    <w:qFormat/>
    <w:rsid w:val="00B15AB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B15AB4"/>
    <w:pPr>
      <w:spacing w:before="200"/>
    </w:pPr>
    <w:rPr>
      <w:sz w:val="24"/>
      <w:szCs w:val="24"/>
    </w:rPr>
  </w:style>
  <w:style w:type="table" w:styleId="af3">
    <w:name w:val="Table Grid"/>
    <w:basedOn w:val="a1"/>
    <w:uiPriority w:val="59"/>
    <w:qFormat/>
    <w:rsid w:val="00B15A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next w:val="a"/>
    <w:link w:val="Heading1Char"/>
    <w:uiPriority w:val="9"/>
    <w:qFormat/>
    <w:rsid w:val="00B15AB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qFormat/>
    <w:rsid w:val="00B15AB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15AB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qFormat/>
    <w:rsid w:val="00B15AB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15AB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qFormat/>
    <w:rsid w:val="00B15AB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15AB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qFormat/>
    <w:rsid w:val="00B15AB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15AB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qFormat/>
    <w:rsid w:val="00B15AB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15AB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qFormat/>
    <w:rsid w:val="00B15AB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15AB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qFormat/>
    <w:rsid w:val="00B15AB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15AB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qFormat/>
    <w:rsid w:val="00B15AB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15AB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qFormat/>
    <w:rsid w:val="00B15AB4"/>
    <w:rPr>
      <w:rFonts w:ascii="Arial" w:eastAsia="Arial" w:hAnsi="Arial" w:cs="Arial"/>
      <w:i/>
      <w:iCs/>
      <w:sz w:val="21"/>
      <w:szCs w:val="21"/>
    </w:rPr>
  </w:style>
  <w:style w:type="paragraph" w:styleId="af4">
    <w:name w:val="No Spacing"/>
    <w:uiPriority w:val="1"/>
    <w:qFormat/>
    <w:rsid w:val="00B15AB4"/>
  </w:style>
  <w:style w:type="character" w:customStyle="1" w:styleId="ae">
    <w:name w:val="Название Знак"/>
    <w:basedOn w:val="a0"/>
    <w:link w:val="ad"/>
    <w:uiPriority w:val="10"/>
    <w:qFormat/>
    <w:rsid w:val="00B15AB4"/>
    <w:rPr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11"/>
    <w:qFormat/>
    <w:rsid w:val="00B15AB4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B15AB4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qFormat/>
    <w:rsid w:val="00B15AB4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B15AB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qFormat/>
    <w:rsid w:val="00B15AB4"/>
    <w:rPr>
      <w:i/>
    </w:rPr>
  </w:style>
  <w:style w:type="character" w:customStyle="1" w:styleId="HeaderChar">
    <w:name w:val="Header Char"/>
    <w:basedOn w:val="a0"/>
    <w:uiPriority w:val="99"/>
    <w:qFormat/>
    <w:rsid w:val="00B15AB4"/>
  </w:style>
  <w:style w:type="character" w:customStyle="1" w:styleId="FooterChar">
    <w:name w:val="Footer Char"/>
    <w:basedOn w:val="a0"/>
    <w:uiPriority w:val="99"/>
    <w:qFormat/>
    <w:rsid w:val="00B15AB4"/>
  </w:style>
  <w:style w:type="character" w:customStyle="1" w:styleId="CaptionChar">
    <w:name w:val="Caption Char"/>
    <w:uiPriority w:val="99"/>
    <w:qFormat/>
    <w:rsid w:val="00B15AB4"/>
  </w:style>
  <w:style w:type="table" w:customStyle="1" w:styleId="TableGridLight">
    <w:name w:val="Table Grid Light"/>
    <w:basedOn w:val="a1"/>
    <w:uiPriority w:val="59"/>
    <w:qFormat/>
    <w:rsid w:val="00B15AB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B15AB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B15AB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B15A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B15A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B15A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B15AB4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B15AB4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B15AB4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B15AB4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B15AB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B15AB4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B15AB4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B15AB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B15AB4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B15AB4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B15AB4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B15AB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B15AB4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B15AB4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B15AB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B15AB4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B15AB4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B15AB4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B15AB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B15AB4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B15AB4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B15AB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B15AB4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B15AB4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B15AB4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B15AB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B15AB4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B15AB4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rsid w:val="00B15AB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B15AB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B15AB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B15AB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B15AB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B15AB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B15AB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B15AB4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B15AB4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B15AB4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B15AB4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B15AB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B15AB4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B15AB4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rsid w:val="00B15AB4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B15AB4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B15AB4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B15AB4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B15AB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B15AB4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B15AB4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rsid w:val="00B15A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B15A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B15A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B15A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B15A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B15A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B15A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B15AB4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B15AB4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B15AB4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B15AB4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B15AB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B15AB4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B15AB4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rsid w:val="00B15A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5AB4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B15AB4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B15AB4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B15AB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B15AB4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B15AB4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rsid w:val="00B15A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B15AB4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B15AB4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B15AB4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B15AB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B15AB4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B15AB4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rsid w:val="00B15AB4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B15AB4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B15AB4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B15AB4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B15AB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B15AB4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B15AB4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rsid w:val="00B15AB4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B15AB4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B15AB4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B15AB4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B15AB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B15AB4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B15AB4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15AB4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5AB4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B15AB4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B15AB4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B15AB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B15AB4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B15AB4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B15AB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qFormat/>
    <w:rsid w:val="00B15AB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B15AB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B15AB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B15AB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B15AB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B15AB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B15AB4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B15AB4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5AB4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B15AB4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B15AB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B15AB4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B15AB4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B15AB4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5AB4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B15AB4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B15AB4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B15AB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B15AB4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B15AB4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sid w:val="00B15AB4"/>
    <w:rPr>
      <w:sz w:val="18"/>
    </w:rPr>
  </w:style>
  <w:style w:type="character" w:customStyle="1" w:styleId="a9">
    <w:name w:val="Текст концевой сноски Знак"/>
    <w:link w:val="a8"/>
    <w:uiPriority w:val="99"/>
    <w:rsid w:val="00B15AB4"/>
    <w:rPr>
      <w:sz w:val="20"/>
    </w:rPr>
  </w:style>
  <w:style w:type="paragraph" w:customStyle="1" w:styleId="10">
    <w:name w:val="Заголовок оглавления1"/>
    <w:uiPriority w:val="39"/>
    <w:unhideWhenUsed/>
    <w:qFormat/>
    <w:rsid w:val="00B15AB4"/>
  </w:style>
  <w:style w:type="paragraph" w:customStyle="1" w:styleId="Caption">
    <w:name w:val="Caption"/>
    <w:basedOn w:val="a"/>
    <w:next w:val="a"/>
    <w:uiPriority w:val="35"/>
    <w:unhideWhenUsed/>
    <w:qFormat/>
    <w:rsid w:val="00B15A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">
    <w:name w:val="Header"/>
    <w:basedOn w:val="a"/>
    <w:link w:val="af7"/>
    <w:uiPriority w:val="99"/>
    <w:semiHidden/>
    <w:unhideWhenUsed/>
    <w:qFormat/>
    <w:rsid w:val="00B15A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f8"/>
    <w:uiPriority w:val="99"/>
    <w:unhideWhenUsed/>
    <w:qFormat/>
    <w:rsid w:val="00B1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B15AB4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B15AB4"/>
    <w:pPr>
      <w:ind w:left="720"/>
      <w:contextualSpacing/>
    </w:pPr>
  </w:style>
  <w:style w:type="character" w:customStyle="1" w:styleId="af0">
    <w:name w:val="Обычный (веб) Знак"/>
    <w:link w:val="af"/>
    <w:qFormat/>
    <w:rsid w:val="00B15AB4"/>
    <w:rPr>
      <w:sz w:val="24"/>
      <w:szCs w:val="24"/>
    </w:rPr>
  </w:style>
  <w:style w:type="paragraph" w:customStyle="1" w:styleId="11">
    <w:name w:val="Абзац списка1"/>
    <w:basedOn w:val="a"/>
    <w:qFormat/>
    <w:rsid w:val="00B15AB4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qFormat/>
    <w:rsid w:val="00B15AB4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f7">
    <w:name w:val="Верхний колонтитул Знак"/>
    <w:basedOn w:val="a0"/>
    <w:link w:val="Header"/>
    <w:uiPriority w:val="99"/>
    <w:semiHidden/>
    <w:qFormat/>
    <w:rsid w:val="00B15AB4"/>
  </w:style>
  <w:style w:type="character" w:customStyle="1" w:styleId="af8">
    <w:name w:val="Нижний колонтитул Знак"/>
    <w:basedOn w:val="a0"/>
    <w:link w:val="Footer"/>
    <w:uiPriority w:val="99"/>
    <w:qFormat/>
    <w:rsid w:val="00B15A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504B16F-F58F-410A-BCDD-AB555D40F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9</Pages>
  <Words>2861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2025-07-28T10:54:00Z</cp:lastPrinted>
  <dcterms:created xsi:type="dcterms:W3CDTF">2025-08-01T05:14:00Z</dcterms:created>
  <dcterms:modified xsi:type="dcterms:W3CDTF">2025-08-05T05:41:00Z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DA268D3E865D4668903E585970020725_13</vt:lpwstr>
  </property>
</Properties>
</file>